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Chapter</w:t>
      </w:r>
      <w:r>
        <w:t xml:space="preserve"> </w:t>
      </w:r>
      <w:r>
        <w:t xml:space="preserve">10,</w:t>
      </w:r>
      <w:r>
        <w:t xml:space="preserve"> </w:t>
      </w:r>
      <w:r>
        <w:t xml:space="preserve">section</w:t>
      </w:r>
      <w:r>
        <w:t xml:space="preserve"> </w:t>
      </w:r>
      <w:r>
        <w:t xml:space="preserve">3:</w:t>
      </w:r>
      <w:r>
        <w:t xml:space="preserve"> </w:t>
      </w:r>
      <w:r>
        <w:t xml:space="preserve">Least</w:t>
      </w:r>
      <w:r>
        <w:t xml:space="preserve"> </w:t>
      </w:r>
      <w:r>
        <w:t xml:space="preserve">squares</w:t>
      </w:r>
      <w:r>
        <w:t xml:space="preserve"> </w:t>
      </w:r>
      <w:r>
        <w:t xml:space="preserve">regression</w:t>
      </w:r>
    </w:p>
    <w:p>
      <w:pPr>
        <w:pStyle w:val="Author"/>
      </w:pPr>
      <w:r>
        <w:t xml:space="preserve">Dr. Paul</w:t>
      </w:r>
      <w:r>
        <w:t xml:space="preserve"> </w:t>
      </w:r>
      <w:r>
        <w:t xml:space="preserve">Pearson,</w:t>
      </w:r>
      <w:r>
        <w:t xml:space="preserve"> </w:t>
      </w:r>
      <w:r>
        <w:t xml:space="preserve">Hope</w:t>
      </w:r>
      <w:r>
        <w:t xml:space="preserve"> </w:t>
      </w:r>
      <w:r>
        <w:t xml:space="preserve">College</w:t>
      </w:r>
    </w:p>
    <w:p>
      <w:pPr>
        <w:pStyle w:val="Date"/>
      </w:pPr>
      <w:r>
        <w:t xml:space="preserve">Fall</w:t>
      </w:r>
      <w:r>
        <w:t xml:space="preserve"> </w:t>
      </w:r>
      <w:r>
        <w:t xml:space="preserve">2024</w:t>
      </w:r>
    </w:p>
    <w:bookmarkStart w:id="21" w:name="chapter-10-two-quantitative-variables"/>
    <w:p>
      <w:pPr>
        <w:pStyle w:val="Heading1"/>
      </w:pPr>
      <w:r>
        <w:t xml:space="preserve">Chapter 10: Two quantitative variables</w:t>
      </w:r>
    </w:p>
    <w:bookmarkStart w:id="20" w:name="section-10.3-least-squares-regression"/>
    <w:p>
      <w:pPr>
        <w:pStyle w:val="Heading2"/>
      </w:pPr>
      <w:r>
        <w:t xml:space="preserve">Section 10.3: Least squares regression</w:t>
      </w:r>
    </w:p>
    <w:p>
      <w:pPr>
        <w:pStyle w:val="FirstParagraph"/>
      </w:pPr>
      <w:r>
        <w:t xml:space="preserve">In Sections 10.1 and 10.2, we used graphical and numerical methods to describe the observed association between two quantitative variables and used correlation coefficient simulation for drawing inference. For a linear association, it is helpful to develop a mathematical model of it. This allows us to make predictions about the response variable from the explanatory variable. The most common way to do this is with a least squares regression line.</w:t>
      </w:r>
    </w:p>
    <w:bookmarkEnd w:id="20"/>
    <w:bookmarkEnd w:id="21"/>
    <w:bookmarkStart w:id="23" w:name="X9f10c8da2703110a35ac8caf405e98684b76cef"/>
    <w:p>
      <w:pPr>
        <w:pStyle w:val="Heading1"/>
      </w:pPr>
      <w:r>
        <w:t xml:space="preserve">Example 10.3: Height and winning at tennis (continued from Exploration 10.1)</w:t>
      </w:r>
    </w:p>
    <w:p>
      <w:pPr>
        <w:pStyle w:val="FirstParagraph"/>
      </w:pPr>
      <w:r>
        <w:t xml:space="preserve">Open the</w:t>
      </w:r>
      <w:r>
        <w:t xml:space="preserve"> </w:t>
      </w:r>
      <w:hyperlink r:id="rId22">
        <w:r>
          <w:rPr>
            <w:rStyle w:val="Hyperlink"/>
          </w:rPr>
          <w:t xml:space="preserve">Correlation/Regression</w:t>
        </w:r>
      </w:hyperlink>
      <w:r>
        <w:t xml:space="preserve"> </w:t>
      </w:r>
      <w:r>
        <w:t xml:space="preserve">applet and select the</w:t>
      </w:r>
      <w:r>
        <w:t xml:space="preserve"> </w:t>
      </w:r>
      <w:r>
        <w:t xml:space="preserve">“</w:t>
      </w:r>
      <w:r>
        <w:t xml:space="preserve">WimbledonMF</w:t>
      </w:r>
      <w:r>
        <w:t xml:space="preserve">”</w:t>
      </w:r>
      <w:r>
        <w:t xml:space="preserve"> </w:t>
      </w:r>
      <w:r>
        <w:t xml:space="preserve">data set in the applet, which we looked at in Exploration 10.1.</w:t>
      </w:r>
    </w:p>
    <w:p>
      <w:pPr>
        <w:pStyle w:val="BodyText"/>
      </w:pPr>
      <w:r>
        <w:t xml:space="preserve">The scatterplot shows a weak positive association because of the trend of increasing height in more recent years. This is supported by the correlation coefficient of r = 0.189.</w:t>
      </w:r>
    </w:p>
    <w:p>
      <w:pPr>
        <w:pStyle w:val="BodyText"/>
      </w:pPr>
      <w:r>
        <w:t xml:space="preserve">The association appears to be roughly linear, and the regression line is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h</m:t>
              </m:r>
              <m:r>
                <m:t>e</m:t>
              </m:r>
              <m:r>
                <m:t>i</m:t>
              </m:r>
              <m:r>
                <m:t>g</m:t>
              </m:r>
              <m:r>
                <m:t>h</m:t>
              </m:r>
              <m:r>
                <m:t>t</m:t>
              </m:r>
            </m:e>
          </m:acc>
          <m:r>
            <m:rPr>
              <m:sty m:val="p"/>
            </m:rPr>
            <m:t>=</m:t>
          </m:r>
          <m:r>
            <m:t>104.7</m:t>
          </m:r>
          <m:r>
            <m:rPr>
              <m:sty m:val="p"/>
            </m:rPr>
            <m:t>+</m:t>
          </m:r>
          <m:r>
            <m:t>0.0378</m:t>
          </m:r>
          <m:r>
            <m:rPr>
              <m:sty m:val="p"/>
            </m:rPr>
            <m:t>*</m:t>
          </m:r>
          <m:r>
            <m:t>y</m:t>
          </m:r>
          <m:r>
            <m:t>e</m:t>
          </m:r>
          <m:r>
            <m:t>a</m:t>
          </m:r>
          <m:r>
            <m:t>r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This equation has the form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y</m:t>
              </m:r>
            </m:e>
          </m:acc>
          <m:r>
            <m:rPr>
              <m:sty m:val="p"/>
            </m:rPr>
            <m:t>=</m:t>
          </m:r>
          <m:r>
            <m:t>a</m:t>
          </m:r>
          <m:r>
            <m:rPr>
              <m:sty m:val="p"/>
            </m:rPr>
            <m:t>+</m:t>
          </m:r>
          <m:r>
            <m:t>b</m:t>
          </m:r>
          <m:r>
            <m:t>x</m:t>
          </m:r>
        </m:oMath>
      </m:oMathPara>
    </w:p>
    <w:p>
      <w:pPr>
        <w:pStyle w:val="FirstParagraph"/>
      </w:pPr>
      <w:r>
        <w:t xml:space="preserve">where</w:t>
      </w:r>
    </w:p>
    <w:p>
      <w:pPr>
        <w:numPr>
          <w:ilvl w:val="0"/>
          <w:numId w:val="1001"/>
        </w:numPr>
        <w:pStyle w:val="Compact"/>
      </w:pPr>
      <m:oMath>
        <m:r>
          <m:t>a</m:t>
        </m:r>
      </m:oMath>
      <w:r>
        <w:t xml:space="preserve"> </w:t>
      </w:r>
      <w:r>
        <w:t xml:space="preserve">is the y-intercept,</w:t>
      </w:r>
    </w:p>
    <w:p>
      <w:pPr>
        <w:numPr>
          <w:ilvl w:val="0"/>
          <w:numId w:val="1001"/>
        </w:numPr>
        <w:pStyle w:val="Compact"/>
      </w:pPr>
      <m:oMath>
        <m:r>
          <m:t>b</m:t>
        </m:r>
      </m:oMath>
      <w:r>
        <w:t xml:space="preserve"> </w:t>
      </w:r>
      <w:r>
        <w:t xml:space="preserve">is the slope,</w:t>
      </w:r>
    </w:p>
    <w:p>
      <w:pPr>
        <w:numPr>
          <w:ilvl w:val="0"/>
          <w:numId w:val="1001"/>
        </w:numPr>
        <w:pStyle w:val="Compact"/>
      </w:pPr>
      <m:oMath>
        <m:r>
          <m:t>x</m:t>
        </m:r>
      </m:oMath>
      <w:r>
        <w:t xml:space="preserve"> </w:t>
      </w:r>
      <w:r>
        <w:t xml:space="preserve">is the value of the explanatory variable, and</w:t>
      </w:r>
    </w:p>
    <w:p>
      <w:pPr>
        <w:numPr>
          <w:ilvl w:val="0"/>
          <w:numId w:val="1001"/>
        </w:numPr>
        <w:pStyle w:val="Compact"/>
      </w:pP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is a point on the line that represents the predicted value of the response variable.</w:t>
      </w:r>
    </w:p>
    <w:p>
      <w:pPr>
        <w:pStyle w:val="FirstParagraph"/>
      </w:pPr>
      <w:r>
        <w:t xml:space="preserve">Questions</w:t>
      </w:r>
    </w:p>
    <w:p>
      <w:pPr>
        <w:numPr>
          <w:ilvl w:val="0"/>
          <w:numId w:val="1002"/>
        </w:numPr>
        <w:pStyle w:val="Compact"/>
      </w:pPr>
      <w:r>
        <w:t xml:space="preserve">What are the units on</w:t>
      </w:r>
      <w:r>
        <w:t xml:space="preserve"> </w:t>
      </w:r>
      <m:oMath>
        <m:acc>
          <m:accPr>
            <m:chr m:val="̂"/>
          </m:accPr>
          <m:e>
            <m:r>
              <m:t>h</m:t>
            </m:r>
            <m:r>
              <m:t>e</m:t>
            </m:r>
            <m:r>
              <m:t>i</m:t>
            </m:r>
            <m:r>
              <m:t>g</m:t>
            </m:r>
            <m:r>
              <m:t>h</m:t>
            </m:r>
            <m:r>
              <m:t>t</m:t>
            </m:r>
          </m:e>
        </m:acc>
      </m:oMath>
      <w:r>
        <w:t xml:space="preserve">?</w:t>
      </w:r>
    </w:p>
    <w:p>
      <w:pPr>
        <w:numPr>
          <w:ilvl w:val="0"/>
          <w:numId w:val="1002"/>
        </w:numPr>
        <w:pStyle w:val="Compact"/>
      </w:pPr>
      <w:r>
        <w:t xml:space="preserve">What are the units on 104.7?</w:t>
      </w:r>
    </w:p>
    <w:p>
      <w:pPr>
        <w:numPr>
          <w:ilvl w:val="0"/>
          <w:numId w:val="1002"/>
        </w:numPr>
        <w:pStyle w:val="Compact"/>
      </w:pPr>
      <w:r>
        <w:t xml:space="preserve">What are the units on 0.0378? What is the practical significance of this slope?</w:t>
      </w:r>
    </w:p>
    <w:p>
      <w:pPr>
        <w:numPr>
          <w:ilvl w:val="0"/>
          <w:numId w:val="1002"/>
        </w:numPr>
        <w:pStyle w:val="Compact"/>
      </w:pPr>
      <w:r>
        <w:t xml:space="preserve">What are the units on</w:t>
      </w:r>
      <w:r>
        <w:t xml:space="preserve"> </w:t>
      </w:r>
      <m:oMath>
        <m:r>
          <m:t>y</m:t>
        </m:r>
        <m:r>
          <m:t>e</m:t>
        </m:r>
        <m:r>
          <m:t>a</m:t>
        </m:r>
        <m:r>
          <m:t>r</m:t>
        </m:r>
      </m:oMath>
      <w:r>
        <w:t xml:space="preserve">?</w:t>
      </w:r>
    </w:p>
    <w:bookmarkEnd w:id="23"/>
    <w:bookmarkStart w:id="24" w:name="key-ideas"/>
    <w:p>
      <w:pPr>
        <w:pStyle w:val="Heading1"/>
      </w:pPr>
      <w:r>
        <w:t xml:space="preserve">Key ideas</w:t>
      </w:r>
    </w:p>
    <w:p>
      <w:pPr>
        <w:numPr>
          <w:ilvl w:val="0"/>
          <w:numId w:val="1003"/>
        </w:numPr>
        <w:pStyle w:val="Compact"/>
      </w:pPr>
      <w:r>
        <w:t xml:space="preserve">The slope of a least squares regression line is interpreted as the predicted change in the average response variable for a one-unit change in the explanatory variable.</w:t>
      </w:r>
    </w:p>
    <w:p>
      <w:pPr>
        <w:numPr>
          <w:ilvl w:val="0"/>
          <w:numId w:val="1003"/>
        </w:numPr>
        <w:pStyle w:val="Compact"/>
      </w:pPr>
      <w:r>
        <w:t xml:space="preserve">For a given data set, the signs (positive, negative, or zero) for the slope of the regression line, b, and the correlation coefficient, r, and must be the same.</w:t>
      </w:r>
    </w:p>
    <w:p>
      <w:pPr>
        <w:numPr>
          <w:ilvl w:val="0"/>
          <w:numId w:val="1003"/>
        </w:numPr>
        <w:pStyle w:val="Compact"/>
      </w:pPr>
      <w:r>
        <w:t xml:space="preserve">Predicting values for the response variable for values of the explanatory variable that are outside of the range of the original data is known as</w:t>
      </w:r>
      <w:r>
        <w:t xml:space="preserve"> </w:t>
      </w:r>
      <w:r>
        <w:rPr>
          <w:bCs/>
          <w:b/>
        </w:rPr>
        <w:t xml:space="preserve">extrapolation</w:t>
      </w:r>
      <w:r>
        <w:t xml:space="preserve">, and can give very misleading predictions.</w:t>
      </w:r>
    </w:p>
    <w:p>
      <w:pPr>
        <w:numPr>
          <w:ilvl w:val="0"/>
          <w:numId w:val="1003"/>
        </w:numPr>
        <w:pStyle w:val="Compact"/>
      </w:pPr>
      <w:r>
        <w:t xml:space="preserve">The y-intercept, a, of a regression line is interpreted as the predicted value of the response variable when the explanatory variable has a value of zero.</w:t>
      </w:r>
    </w:p>
    <w:p>
      <w:pPr>
        <w:numPr>
          <w:ilvl w:val="0"/>
          <w:numId w:val="1003"/>
        </w:numPr>
        <w:pStyle w:val="Compact"/>
      </w:pPr>
      <w:r>
        <w:t xml:space="preserve">Be wary of extrapolation in interpreting the intercept or other values outside the original data range.</w:t>
      </w:r>
    </w:p>
    <w:bookmarkEnd w:id="24"/>
    <w:bookmarkStart w:id="25" w:name="X3bc18d14b7f9d21c2a636ce8ef9bfdc92171109"/>
    <w:p>
      <w:pPr>
        <w:pStyle w:val="Heading1"/>
      </w:pPr>
      <w:r>
        <w:t xml:space="preserve">Key idea residuals and coefficient of determination</w:t>
      </w:r>
    </w:p>
    <w:p>
      <w:pPr>
        <w:numPr>
          <w:ilvl w:val="0"/>
          <w:numId w:val="1004"/>
        </w:numPr>
        <w:pStyle w:val="Compact"/>
      </w:pPr>
      <w:r>
        <w:t xml:space="preserve">A residual is a difference between an observed response and the predicted response from the least square regression line:</w:t>
      </w:r>
      <w:r>
        <w:t xml:space="preserve"> </w:t>
      </w:r>
      <m:oMath>
        <m:r>
          <m:t>r</m:t>
        </m:r>
        <m:r>
          <m:t>e</m:t>
        </m:r>
        <m:r>
          <m:t>s</m:t>
        </m:r>
        <m:r>
          <m:t>i</m:t>
        </m:r>
        <m:r>
          <m:t>d</m:t>
        </m:r>
        <m:r>
          <m:t>u</m:t>
        </m:r>
        <m:r>
          <m:t>a</m:t>
        </m:r>
        <m:r>
          <m:t>l</m:t>
        </m:r>
        <m:r>
          <m:rPr>
            <m:sty m:val="p"/>
          </m:rPr>
          <m:t>=</m:t>
        </m:r>
        <m:r>
          <m:t>o</m:t>
        </m:r>
        <m:r>
          <m:t>b</m:t>
        </m:r>
        <m:r>
          <m:t>s</m:t>
        </m:r>
        <m:r>
          <m:t>e</m:t>
        </m:r>
        <m:r>
          <m:t>r</m:t>
        </m:r>
        <m:r>
          <m:t>v</m:t>
        </m:r>
        <m:r>
          <m:t>e</m:t>
        </m:r>
        <m:r>
          <m:t>d</m:t>
        </m:r>
        <m:r>
          <m:rPr>
            <m:sty m:val="p"/>
          </m:rPr>
          <m:t>−</m:t>
        </m:r>
        <m:r>
          <m:t>p</m:t>
        </m:r>
        <m:r>
          <m:t>r</m:t>
        </m:r>
        <m:r>
          <m:t>e</m:t>
        </m:r>
        <m:r>
          <m:t>d</m:t>
        </m:r>
        <m:r>
          <m:t>i</m:t>
        </m:r>
        <m:r>
          <m:t>c</m:t>
        </m:r>
        <m:r>
          <m:t>t</m:t>
        </m:r>
        <m:r>
          <m:t>e</m:t>
        </m:r>
        <m:r>
          <m:t>d</m:t>
        </m:r>
      </m:oMath>
      <w:r>
        <w:t xml:space="preserve">.</w:t>
      </w:r>
    </w:p>
    <w:p>
      <w:pPr>
        <w:numPr>
          <w:ilvl w:val="0"/>
          <w:numId w:val="1004"/>
        </w:numPr>
        <w:pStyle w:val="Compact"/>
      </w:pPr>
      <w:r>
        <w:t xml:space="preserve">The least squares regression line minimizes the sum of the squared residuals.</w:t>
      </w:r>
    </w:p>
    <w:p>
      <w:pPr>
        <w:numPr>
          <w:ilvl w:val="0"/>
          <w:numId w:val="1004"/>
        </w:numPr>
        <w:pStyle w:val="Compact"/>
      </w:pPr>
      <w:r>
        <w:t xml:space="preserve">The coefficient of determination (</w:t>
      </w:r>
      <m:oMath>
        <m:sSup>
          <m:e>
            <m:r>
              <m:t>r</m:t>
            </m:r>
          </m:e>
          <m:sup>
            <m:r>
              <m:t>2</m:t>
            </m:r>
          </m:sup>
        </m:sSup>
      </m:oMath>
      <w:r>
        <w:t xml:space="preserve">) is the percentage of variation in the response variable that is explained by the linear relationship with the explanatory variable.</w:t>
      </w:r>
    </w:p>
    <w:p>
      <w:pPr>
        <w:pStyle w:val="Compact"/>
      </w:pPr>
      <m:oMathPara>
        <m:oMathParaPr>
          <m:jc m:val="center"/>
        </m:oMathParaPr>
        <m:oMath>
          <m:sSup>
            <m:e>
              <m:r>
                <m:t>r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S</m:t>
              </m:r>
              <m:r>
                <m:t>S</m:t>
              </m:r>
              <m:r>
                <m:t>E</m:t>
              </m:r>
              <m:d>
                <m:dPr>
                  <m:begChr m:val="("/>
                  <m:endChr m:val=")"/>
                  <m:sepChr m:val="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rPr>
                  <m:sty m:val="p"/>
                </m:rPr>
                <m:t>−</m:t>
              </m:r>
              <m:r>
                <m:t>S</m:t>
              </m:r>
              <m:r>
                <m:t>S</m:t>
              </m:r>
              <m:r>
                <m:t>E</m:t>
              </m:r>
              <m:d>
                <m:dPr>
                  <m:begChr m:val="("/>
                  <m:endChr m:val=")"/>
                  <m:sepChr m:val=""/>
                  <m:grow/>
                </m:dPr>
                <m:e>
                  <m:r>
                    <m:t>r</m:t>
                  </m:r>
                  <m:r>
                    <m:t>e</m:t>
                  </m:r>
                  <m:r>
                    <m:t>g</m:t>
                  </m:r>
                  <m:r>
                    <m:t>r</m:t>
                  </m:r>
                  <m:r>
                    <m:t>e</m:t>
                  </m:r>
                  <m:r>
                    <m:t>s</m:t>
                  </m:r>
                  <m:r>
                    <m:t>s</m:t>
                  </m:r>
                  <m:r>
                    <m:t>i</m:t>
                  </m:r>
                  <m:r>
                    <m:t>o</m:t>
                  </m:r>
                  <m:r>
                    <m:t>n</m:t>
                  </m:r>
                  <m:r>
                    <m:t>l</m:t>
                  </m:r>
                  <m:r>
                    <m:t>i</m:t>
                  </m:r>
                  <m:r>
                    <m:t>n</m:t>
                  </m:r>
                  <m:r>
                    <m:t>e</m:t>
                  </m:r>
                </m:e>
              </m:d>
            </m:num>
            <m:den>
              <m:r>
                <m:t>S</m:t>
              </m:r>
              <m:r>
                <m:t>S</m:t>
              </m:r>
              <m:r>
                <m:t>E</m:t>
              </m:r>
              <m:d>
                <m:dPr>
                  <m:begChr m:val="("/>
                  <m:endChr m:val=")"/>
                  <m:sepChr m:val="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</m:e>
              </m:d>
            </m:den>
          </m:f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4"/>
        </w:numPr>
        <w:pStyle w:val="Compact"/>
      </w:pPr>
      <w:r>
        <w:t xml:space="preserve">In the Wimbledon example, because correlation coefficient is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0.189</m:t>
        </m:r>
      </m:oMath>
      <w:r>
        <w:t xml:space="preserve">, the coefficient of determination is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0.189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0.0357</m:t>
        </m:r>
      </m:oMath>
      <w:r>
        <w:t xml:space="preserve">. This means that 3.5721% of the observed variation in height of Wimbledon championship winners is explained by knowing the year that they won.</w:t>
      </w:r>
    </w:p>
    <w:bookmarkEnd w:id="25"/>
    <w:bookmarkStart w:id="28" w:name="exploration-10.3-arctic-sea-ice-extent"/>
    <w:p>
      <w:pPr>
        <w:pStyle w:val="Heading1"/>
      </w:pPr>
      <w:r>
        <w:t xml:space="preserve">Exploration 10.3: Arctic sea ice extent</w:t>
      </w:r>
    </w:p>
    <w:p>
      <w:pPr>
        <w:numPr>
          <w:ilvl w:val="0"/>
          <w:numId w:val="1005"/>
        </w:numPr>
        <w:pStyle w:val="Compact"/>
      </w:pPr>
      <w:r>
        <w:t xml:space="preserve">The</w:t>
      </w:r>
      <w:r>
        <w:t xml:space="preserve"> </w:t>
      </w:r>
      <w:hyperlink r:id="rId26">
        <w:r>
          <w:rPr>
            <w:rStyle w:val="Hyperlink"/>
          </w:rPr>
          <w:t xml:space="preserve">google document with questions is linked here</w:t>
        </w:r>
      </w:hyperlink>
    </w:p>
    <w:p>
      <w:pPr>
        <w:numPr>
          <w:ilvl w:val="0"/>
          <w:numId w:val="1005"/>
        </w:numPr>
        <w:pStyle w:val="Compact"/>
      </w:pPr>
      <w:r>
        <w:t xml:space="preserve">The</w:t>
      </w:r>
      <w:r>
        <w:t xml:space="preserve"> </w:t>
      </w:r>
      <w:hyperlink r:id="rId27">
        <w:r>
          <w:rPr>
            <w:rStyle w:val="Hyperlink"/>
          </w:rPr>
          <w:t xml:space="preserve">google spreadsheet with data is linked here</w:t>
        </w:r>
      </w:hyperlink>
    </w:p>
    <w:bookmarkEnd w:id="28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411">
    <w:nsid w:val="A9941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color w:val="204a87"/>
      <w:shd w:val="clear" w:fill="f8f8f8"/>
      <w:b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color w:val="ce5c00"/>
      <w:shd w:val="clear" w:fill="f8f8f8"/>
      <w:b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color w:val="8f5902"/>
      <w:shd w:val="clear" w:fill="f8f8f8"/>
      <w:i/>
    </w:rPr>
  </w:style>
  <w:style w:type="character" w:customStyle="1" w:styleId="DocumentationTok">
    <w:name w:val="DocumentationTok"/>
    <w:basedOn w:val="VerbatimChar"/>
    <w:rPr>
      <w:color w:val="8f5902"/>
      <w:shd w:val="clear" w:fill="f8f8f8"/>
      <w:b/>
      <w:i/>
    </w:rPr>
  </w:style>
  <w:style w:type="character" w:customStyle="1" w:styleId="AnnotationTok">
    <w:name w:val="AnnotationTok"/>
    <w:basedOn w:val="VerbatimChar"/>
    <w:rPr>
      <w:color w:val="8f5902"/>
      <w:shd w:val="clear" w:fill="f8f8f8"/>
      <w:b/>
      <w:i/>
    </w:rPr>
  </w:style>
  <w:style w:type="character" w:customStyle="1" w:styleId="CommentVarTok">
    <w:name w:val="CommentVarTok"/>
    <w:basedOn w:val="VerbatimChar"/>
    <w:rPr>
      <w:color w:val="8f5902"/>
      <w:shd w:val="clear" w:fill="f8f8f8"/>
      <w:b/>
      <w:i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color w:val="204a87"/>
      <w:shd w:val="clear" w:fill="f8f8f8"/>
      <w:b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color w:val="204a87"/>
      <w:shd w:val="clear" w:fill="f8f8f8"/>
      <w:b/>
    </w:rPr>
  </w:style>
  <w:style w:type="character" w:customStyle="1" w:styleId="OperatorTok">
    <w:name w:val="OperatorTok"/>
    <w:basedOn w:val="VerbatimChar"/>
    <w:rPr>
      <w:color w:val="ce5c00"/>
      <w:shd w:val="clear" w:fill="f8f8f8"/>
      <w:b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color w:val="8f5902"/>
      <w:shd w:val="clear" w:fill="f8f8f8"/>
      <w:i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color w:val="8f5902"/>
      <w:shd w:val="clear" w:fill="f8f8f8"/>
      <w:b/>
      <w:i/>
    </w:rPr>
  </w:style>
  <w:style w:type="character" w:customStyle="1" w:styleId="WarningTok">
    <w:name w:val="WarningTok"/>
    <w:basedOn w:val="VerbatimChar"/>
    <w:rPr>
      <w:color w:val="8f5902"/>
      <w:shd w:val="clear" w:fill="f8f8f8"/>
      <w:b/>
      <w:i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color w:val="a40000"/>
      <w:shd w:val="clear" w:fill="f8f8f8"/>
      <w:b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26" Target="https://docs.google.com/document/d/1-lOygkf2tF-8sIvJ-CTzQIjfqmeygTofZ74PWDWT7uk/copy" TargetMode="External" /><Relationship Type="http://schemas.openxmlformats.org/officeDocument/2006/relationships/hyperlink" Id="rId27" Target="https://docs.google.com/spreadsheets/d/1G6ufQq8Yu4TH9coyXY3rB5aSWSHAJUvVi6bszSS8QIw/copy" TargetMode="External" /><Relationship Type="http://schemas.openxmlformats.org/officeDocument/2006/relationships/hyperlink" Id="rId22" Target="https://www.rossmanchance.com/applets/2021/regshuffle/regshuffle.htm?hideExtras=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6" Target="https://docs.google.com/document/d/1-lOygkf2tF-8sIvJ-CTzQIjfqmeygTofZ74PWDWT7uk/copy" TargetMode="External" /><Relationship Type="http://schemas.openxmlformats.org/officeDocument/2006/relationships/hyperlink" Id="rId27" Target="https://docs.google.com/spreadsheets/d/1G6ufQq8Yu4TH9coyXY3rB5aSWSHAJUvVi6bszSS8QIw/copy" TargetMode="External" /><Relationship Type="http://schemas.openxmlformats.org/officeDocument/2006/relationships/hyperlink" Id="rId22" Target="https://www.rossmanchance.com/applets/2021/regshuffle/regshuffle.htm?hideExtras=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10, section 3: Least squares regression</dc:title>
  <dc:creator>Dr. Paul Pearson, Hope College</dc:creator>
  <cp:keywords/>
  <dcterms:created xsi:type="dcterms:W3CDTF">2024-11-18T04:05:50Z</dcterms:created>
  <dcterms:modified xsi:type="dcterms:W3CDTF">2024-11-18T04:05:50Z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Fall 2024</vt:lpwstr>
  </property>
  <property fmtid="{D5CDD505-2E9C-101B-9397-08002B2CF9AE}" pid="3" name="output">
    <vt:lpwstr>word_document</vt:lpwstr>
  </property>
</Properties>
</file>